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003CA5">
        <w:rPr>
          <w:rFonts w:ascii="Times New Roman" w:hAnsi="Times New Roman"/>
          <w:b/>
          <w:sz w:val="28"/>
          <w:u w:val="single"/>
          <w:lang w:val="uk-UA"/>
        </w:rPr>
        <w:t xml:space="preserve">Спеціалізовані </w:t>
      </w:r>
      <w:r w:rsidR="00003CA5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r w:rsidR="00003CA5" w:rsidRPr="00C32AD2">
        <w:rPr>
          <w:rFonts w:ascii="Times New Roman" w:hAnsi="Times New Roman"/>
          <w:b/>
          <w:sz w:val="28"/>
          <w:szCs w:val="28"/>
          <w:u w:val="single"/>
          <w:lang w:val="uk-UA"/>
        </w:rPr>
        <w:t>’</w:t>
      </w:r>
      <w:r w:rsidR="00003CA5">
        <w:rPr>
          <w:rFonts w:ascii="Times New Roman" w:hAnsi="Times New Roman"/>
          <w:b/>
          <w:sz w:val="28"/>
          <w:szCs w:val="28"/>
          <w:u w:val="single"/>
          <w:lang w:val="uk-UA"/>
        </w:rPr>
        <w:t>ютерні системи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003CA5" w:rsidRDefault="00003CA5" w:rsidP="00003C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03CA5" w:rsidRDefault="00003CA5" w:rsidP="00003C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77514" w:rsidRPr="001B663C" w:rsidRDefault="00C122A3" w:rsidP="008775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FF705F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CA5">
        <w:rPr>
          <w:rStyle w:val="2"/>
        </w:rPr>
        <w:t xml:space="preserve">123 - </w:t>
      </w:r>
      <w:r w:rsidR="00003CA5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003CA5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003CA5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</w:t>
      </w:r>
      <w:bookmarkStart w:id="1" w:name="_GoBack"/>
      <w:bookmarkEnd w:id="1"/>
      <w:r w:rsidR="00003CA5">
        <w:rPr>
          <w:rFonts w:ascii="Times New Roman" w:hAnsi="Times New Roman"/>
          <w:sz w:val="28"/>
          <w:u w:val="single"/>
          <w:lang w:val="uk-UA"/>
        </w:rPr>
        <w:t>)</w:t>
      </w:r>
      <w:r w:rsidR="00003CA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877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594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Мікропроцесори. Основні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визначення. Архітектура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мікропроцесора. Основні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вузли.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Класифікація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мікропроцесорів. RISC і CISC архітектури. Архітектура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Фон-Неймана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. Гарвардська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архітектура.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Система команд мікропроцесора. Арифметичні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команди. Логічні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команди. Команди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розгалуження (переходу).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Адресація в мікропроцесорах. Адресація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пам'яті. Види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адресації. Адресація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зовнішніх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пристроїв.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Периферійні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пристрої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мікропроцесорів. Організація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роботи з периферійними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пристроями.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 Системні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інтерфейси. Інтерфейси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розширення. Інтерфейси ISA. PCL РСІН.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периферійного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обладнання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Інтерфейси USB, CAN. SATA ...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Організація стека в мікропроцесорних системах. Робота зі стеком.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Переривання в мікропроцесорних системах. Вектор переривання. Контролер переривання. Маскування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запитів. Пріоритетна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обробка.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Прямий доступ до пам'яті в мікропроцесорних системах. Контролер ПДП. Організація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роботи. Пріоритети.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Задатчики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мікропроцесорній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системі. Види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задатчиків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. Пріоритети. Організація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передачі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управління.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Задавальний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генератор в мікропроцесорній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системі. Види ЗГ. Розподіл і множення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частоти ЗГ.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Управління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енергоспоживанням в мікропроцесорної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системі. Способи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зниження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енергоспоживання. Реалізація.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Сховище в мікропроцесорній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системі. Класифікація. ОЗП, ПЗП. Регенерація ОЗП динамічного типу.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Робота мікропроцесорної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системи в режимі реального часу. Таймери. Лічильники. Процесори</w:t>
      </w:r>
      <w:r w:rsid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подій.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Аналого-цифрові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підсистеми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мікропроцесорних систем. АЦП. Види АЦП. Організація АЦП. ЦАП.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Масштабуючі</w:t>
      </w:r>
      <w:proofErr w:type="spellEnd"/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підсилювачі. Компаратори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сигналів. НОН.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Мультиплексори</w:t>
      </w:r>
      <w:proofErr w:type="spellEnd"/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сигналів.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Мультимікропроцесорні</w:t>
      </w:r>
      <w:proofErr w:type="spellEnd"/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системи. Класифікація. Способи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організації. Синхронізація. Скидання. Взаємодія.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Зовнішні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запам'ятовуючі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пристрої МПС. CD / DVD, вінчестер, FLASH ЗП.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Відеосистема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МПС. Архітектура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відеосистеми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. Класифікація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пристроїв. Відображення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інформації (ПВІ). Принципи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роботи ПВІ.</w:t>
      </w:r>
    </w:p>
    <w:p w:rsidR="00C122A3" w:rsidRPr="005946AD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Принтери. Сканери. </w:t>
      </w:r>
      <w:proofErr w:type="spellStart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Плотери</w:t>
      </w:r>
      <w:proofErr w:type="spellEnd"/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. Принципи</w:t>
      </w:r>
      <w:r w:rsidR="00FF705F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роботи. Організація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взаємодії у мікропроцесорній</w:t>
      </w:r>
      <w:r w:rsidR="0064510B" w:rsidRPr="005946A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5946AD">
        <w:rPr>
          <w:rFonts w:ascii="Times New Roman" w:hAnsi="Times New Roman"/>
          <w:iCs/>
          <w:sz w:val="28"/>
          <w:szCs w:val="28"/>
          <w:lang w:val="uk-UA" w:eastAsia="ru-RU"/>
        </w:rPr>
        <w:t>системі.</w:t>
      </w:r>
    </w:p>
    <w:p w:rsidR="00C122A3" w:rsidRPr="005946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 .М.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КР1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5946AD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32AD2" w:rsidRDefault="00C32AD2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. Технология корпоративных сетей. Энциклопедия. - СПб.: Питер, 2003. -704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594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46AD">
        <w:rPr>
          <w:rFonts w:ascii="Times New Roman" w:hAnsi="Times New Roman"/>
          <w:sz w:val="28"/>
          <w:szCs w:val="28"/>
          <w:lang w:val="uk-UA"/>
        </w:rPr>
        <w:t>.1.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основи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між ними. Типи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3.2.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сховищ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3.3.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OLAP та OLTP. Визначення та концептуальна різниця.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3.4.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Інструментальний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засіб MSSQL Server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інструментальним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засобом MSSQL Server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його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основні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функціональні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можливості.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3.5.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Архітектура MSSQL Express 2005.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Типи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даних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MSSQL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Express 2005. Об'єкти баз даних (безпеки, програмні). Системні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бази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даних, та їх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призначення. Ховання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даних на фізичному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рівні.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3.6.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Засоби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обмеження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цілісності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даних. Первинні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ключі. Зовнішні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ключі. Тригери.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3.7.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Transact-SQL.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Ідентифікатори. Оператори. Вирази. Змінні, умовні та циклічні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конструкції.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3.8.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Обробка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помилок.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Виключення. Функції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 з виключеннями.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3.9.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Підмножина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DML.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Select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insert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update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delete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truncate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 Рекомендації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оптимізатору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запитів.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3.10.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Підмножина DDL. 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alter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drop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3.11.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3.12.Індекси.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Унікальні.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некластерні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 XML-індекси, повнотекстові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індекси.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3.13.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Уявлення.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Призначення, функціональні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можливості, особливості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використання.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3.14.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Функціональні блоки.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Процедури, що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зберігаються. Функції, що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призначені для користувача. Передача та повернення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параметрів у наслідок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виклику.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3.15.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Тригери DML. Принципи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 з тригерами.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3.16.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Курсори.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 з курсорами. Синтаксис та параметри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курсорів.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3.17.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Транзакції.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Загальні</w:t>
      </w:r>
      <w:r w:rsid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поняття. Властивості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транзакцій (ACID). Рівні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ізоляції, їх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властивості та призначення. Програмування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транзакцій. Вкладені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транзакції.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3.18.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Сучасні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технології доступу до баз даних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на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стороні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клієнта.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lastRenderedPageBreak/>
        <w:t>Загальні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 з базами даних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клієнтських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додатків. Використання баз даних MSSQL Express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зовнішніх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програм. Програм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>на модель підключення до СКБД. В</w:t>
      </w:r>
      <w:r w:rsidRPr="005946AD">
        <w:rPr>
          <w:rFonts w:ascii="Times New Roman" w:hAnsi="Times New Roman"/>
          <w:sz w:val="28"/>
          <w:szCs w:val="28"/>
          <w:lang w:val="uk-UA"/>
        </w:rPr>
        <w:t>иконання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запитів та отримання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результатів.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3.19.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Бібліотека JDBC. Класи та методи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бібліотеки JDBC. Приклади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програм на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Java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3.20.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Бібліотека ADO.NET. Класи та методи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бібліотеки ADO.NET. Приклади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програм на С#.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594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C32AD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FF70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поняття Win32 АРІ? Які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до складу Win32 АРІ?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5.2.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Типи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даних Win32 та їх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відповідність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стандартним С / С + + типам.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5.3.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Визначення статусу виконання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системних АРІ. Отримання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кодів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помилок і рядків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AD">
        <w:rPr>
          <w:rFonts w:ascii="Times New Roman" w:hAnsi="Times New Roman"/>
          <w:sz w:val="28"/>
          <w:szCs w:val="28"/>
          <w:lang w:val="uk-UA"/>
        </w:rPr>
        <w:t>описуюч</w:t>
      </w:r>
      <w:r w:rsidRPr="005946AD">
        <w:rPr>
          <w:rFonts w:ascii="Times New Roman" w:hAnsi="Times New Roman"/>
          <w:sz w:val="28"/>
          <w:szCs w:val="28"/>
          <w:lang w:val="uk-UA"/>
        </w:rPr>
        <w:t>их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помилок.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</w:t>
      </w:r>
      <w:r w:rsidR="005946AD">
        <w:rPr>
          <w:rFonts w:ascii="Times New Roman" w:hAnsi="Times New Roman"/>
          <w:sz w:val="28"/>
          <w:szCs w:val="28"/>
          <w:lang w:val="uk-UA"/>
        </w:rPr>
        <w:t>4.</w:t>
      </w:r>
      <w:r w:rsidR="005946AD">
        <w:rPr>
          <w:rFonts w:ascii="Times New Roman" w:hAnsi="Times New Roman"/>
          <w:sz w:val="28"/>
          <w:szCs w:val="28"/>
          <w:lang w:val="uk-UA"/>
        </w:rPr>
        <w:tab/>
        <w:t xml:space="preserve">Подання ANSI і </w:t>
      </w:r>
      <w:proofErr w:type="spellStart"/>
      <w:r w:rsidR="005946AD">
        <w:rPr>
          <w:rFonts w:ascii="Times New Roman" w:hAnsi="Times New Roman"/>
          <w:sz w:val="28"/>
          <w:szCs w:val="28"/>
          <w:lang w:val="uk-UA"/>
        </w:rPr>
        <w:t>Юникод</w:t>
      </w:r>
      <w:proofErr w:type="spellEnd"/>
      <w:r w:rsidR="005946AD">
        <w:rPr>
          <w:rFonts w:ascii="Times New Roman" w:hAnsi="Times New Roman"/>
          <w:sz w:val="28"/>
          <w:szCs w:val="28"/>
          <w:lang w:val="uk-UA"/>
        </w:rPr>
        <w:t xml:space="preserve"> рядкі</w:t>
      </w:r>
      <w:r w:rsidRPr="005946AD">
        <w:rPr>
          <w:rFonts w:ascii="Times New Roman" w:hAnsi="Times New Roman"/>
          <w:sz w:val="28"/>
          <w:szCs w:val="28"/>
          <w:lang w:val="uk-UA"/>
        </w:rPr>
        <w:t>в Win32. Конвертування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рядків з одного кодування в іншу.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5.5.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Робота з файлами через Win32 АРІ. Операції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створення, відкриття, запису, читання та ін.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5.6.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Символічні й жорсткі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посилання в NTFS. Робота з символічними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жорсткими</w:t>
      </w:r>
      <w:r w:rsidR="008A33CF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посиланнями в Win32 АРІ.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5.7.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Навігація по директоріях, отримання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5.8.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з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на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5946AD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5.9.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5.10.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5.11.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5.12.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5.13.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5.14.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5.15.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5946AD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5.16.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5.17.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або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5.18.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таке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46AD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5946AD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5.19.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Pr="005946AD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46AD">
        <w:rPr>
          <w:rFonts w:ascii="Times New Roman" w:hAnsi="Times New Roman"/>
          <w:sz w:val="28"/>
          <w:szCs w:val="28"/>
          <w:lang w:val="uk-UA"/>
        </w:rPr>
        <w:t>5.20.</w:t>
      </w:r>
      <w:r w:rsidRPr="005946AD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 w:rsidRPr="00594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6AD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AD2" w:rsidRPr="00C9651C" w:rsidRDefault="00C32AD2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05F" w:rsidRDefault="00FF705F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085FCE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085FCE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85FC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085F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085FCE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085FCE" w:rsidRPr="00085FCE" w:rsidRDefault="00085FCE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003CA5">
        <w:rPr>
          <w:rStyle w:val="2"/>
        </w:rPr>
        <w:t xml:space="preserve">123 - </w:t>
      </w:r>
      <w:r w:rsidR="00003CA5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003CA5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003CA5">
        <w:rPr>
          <w:rFonts w:ascii="Times New Roman" w:hAnsi="Times New Roman"/>
          <w:sz w:val="28"/>
          <w:u w:val="single"/>
          <w:lang w:val="uk-UA"/>
        </w:rPr>
        <w:t xml:space="preserve">Спеціалізовані комп’ютерні системи)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03CA5"/>
    <w:rsid w:val="00035217"/>
    <w:rsid w:val="0004146F"/>
    <w:rsid w:val="00045EA9"/>
    <w:rsid w:val="00082875"/>
    <w:rsid w:val="00085FCE"/>
    <w:rsid w:val="000B39C2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17085"/>
    <w:rsid w:val="00335C72"/>
    <w:rsid w:val="00340F90"/>
    <w:rsid w:val="00344BC8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36F4"/>
    <w:rsid w:val="00506035"/>
    <w:rsid w:val="005564D8"/>
    <w:rsid w:val="00585928"/>
    <w:rsid w:val="005946AD"/>
    <w:rsid w:val="005B61D3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5277A"/>
    <w:rsid w:val="007717A0"/>
    <w:rsid w:val="00774779"/>
    <w:rsid w:val="00792304"/>
    <w:rsid w:val="007A583C"/>
    <w:rsid w:val="007B4F17"/>
    <w:rsid w:val="007D1616"/>
    <w:rsid w:val="007E445D"/>
    <w:rsid w:val="007F0AB2"/>
    <w:rsid w:val="00820FF1"/>
    <w:rsid w:val="00862C36"/>
    <w:rsid w:val="00867BB3"/>
    <w:rsid w:val="0087078F"/>
    <w:rsid w:val="00877514"/>
    <w:rsid w:val="00885597"/>
    <w:rsid w:val="00886C1C"/>
    <w:rsid w:val="008946D8"/>
    <w:rsid w:val="00894798"/>
    <w:rsid w:val="008A33CF"/>
    <w:rsid w:val="008D6EC2"/>
    <w:rsid w:val="008E73F5"/>
    <w:rsid w:val="008F4109"/>
    <w:rsid w:val="009138E4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C6F1C"/>
    <w:rsid w:val="00AD00D9"/>
    <w:rsid w:val="00AE5AE1"/>
    <w:rsid w:val="00B252AF"/>
    <w:rsid w:val="00B27438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2AD2"/>
    <w:rsid w:val="00C34DB9"/>
    <w:rsid w:val="00C52777"/>
    <w:rsid w:val="00C6717F"/>
    <w:rsid w:val="00C752DE"/>
    <w:rsid w:val="00C9651C"/>
    <w:rsid w:val="00CC1B39"/>
    <w:rsid w:val="00CC44F6"/>
    <w:rsid w:val="00D025AA"/>
    <w:rsid w:val="00D0698E"/>
    <w:rsid w:val="00D246B8"/>
    <w:rsid w:val="00D97B56"/>
    <w:rsid w:val="00DA310B"/>
    <w:rsid w:val="00DB4FB4"/>
    <w:rsid w:val="00E023C3"/>
    <w:rsid w:val="00E501DE"/>
    <w:rsid w:val="00E542E5"/>
    <w:rsid w:val="00E562CE"/>
    <w:rsid w:val="00E67FCC"/>
    <w:rsid w:val="00E7602F"/>
    <w:rsid w:val="00E80272"/>
    <w:rsid w:val="00E82501"/>
    <w:rsid w:val="00EA7C21"/>
    <w:rsid w:val="00EC20C4"/>
    <w:rsid w:val="00EE0400"/>
    <w:rsid w:val="00F20A43"/>
    <w:rsid w:val="00F92FD3"/>
    <w:rsid w:val="00FB0F68"/>
    <w:rsid w:val="00FB1144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6</cp:revision>
  <cp:lastPrinted>2017-03-13T08:20:00Z</cp:lastPrinted>
  <dcterms:created xsi:type="dcterms:W3CDTF">2017-03-10T09:51:00Z</dcterms:created>
  <dcterms:modified xsi:type="dcterms:W3CDTF">2017-03-13T08:20:00Z</dcterms:modified>
</cp:coreProperties>
</file>